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四川蜀物兴川物流发展有限公司</w:t>
      </w:r>
    </w:p>
    <w:p>
      <w:pPr>
        <w:spacing w:line="600" w:lineRule="exact"/>
        <w:ind w:left="0" w:leftChars="0" w:right="160" w:rightChars="50" w:firstLine="0" w:firstLineChars="0"/>
        <w:jc w:val="center"/>
        <w:outlineLvl w:val="9"/>
        <w:rPr>
          <w:rFonts w:hint="default" w:ascii="方正小标宋简体" w:hAnsi="黑体" w:eastAsia="方正小标宋简体"/>
          <w:sz w:val="44"/>
          <w:szCs w:val="44"/>
          <w:highlight w:val="none"/>
          <w:lang w:val="en-US"/>
        </w:rPr>
      </w:pPr>
      <w:r>
        <w:rPr>
          <w:rFonts w:hint="eastAsia" w:ascii="方正小标宋简体" w:hAnsi="黑体" w:eastAsia="方正小标宋简体" w:cs="Times New Roman"/>
          <w:sz w:val="44"/>
          <w:szCs w:val="44"/>
          <w:highlight w:val="yellow"/>
          <w:lang w:val="en-US" w:eastAsia="zh-CN"/>
        </w:rPr>
        <w:t>成渝中线钢材</w:t>
      </w:r>
      <w:r>
        <w:rPr>
          <w:rFonts w:hint="eastAsia" w:ascii="方正小标宋简体" w:hAnsi="黑体" w:eastAsia="方正小标宋简体"/>
          <w:sz w:val="44"/>
          <w:szCs w:val="44"/>
          <w:highlight w:val="yellow"/>
          <w:lang w:val="en-US" w:eastAsia="zh-CN"/>
        </w:rPr>
        <w:t>公开询价采购项目</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宋体" w:eastAsia="仿宋_GB2312"/>
          <w:b/>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hint="eastAsia"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报</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hint="eastAsia"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价</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jc w:val="center"/>
        <w:outlineLvl w:val="9"/>
        <w:rPr>
          <w:rFonts w:ascii="仿宋_GB2312" w:hAnsi="宋体" w:eastAsia="仿宋_GB2312"/>
          <w:b/>
          <w:sz w:val="24"/>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eastAsia" w:ascii="方正小标宋简体" w:hAnsi="宋体" w:eastAsia="方正小标宋简体"/>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方正小标宋简体" w:hAnsi="宋体" w:eastAsia="方正小标宋简体"/>
          <w:sz w:val="32"/>
          <w:szCs w:val="32"/>
          <w:highlight w:val="none"/>
          <w:lang w:val="en-US"/>
        </w:rPr>
      </w:pPr>
      <w:r>
        <w:rPr>
          <w:rFonts w:hint="eastAsia" w:ascii="方正小标宋简体" w:hAnsi="宋体" w:eastAsia="方正小标宋简体"/>
          <w:sz w:val="32"/>
          <w:szCs w:val="32"/>
          <w:highlight w:val="none"/>
          <w:lang w:val="en-US" w:eastAsia="zh-CN"/>
        </w:rPr>
        <w:t>申 请 人：</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方正小标宋简体" w:hAnsi="宋体" w:eastAsia="方正小标宋简体"/>
          <w:sz w:val="32"/>
          <w:szCs w:val="32"/>
          <w:highlight w:val="none"/>
          <w:lang w:val="en-US" w:eastAsia="zh-CN"/>
        </w:rPr>
      </w:pPr>
      <w:r>
        <w:rPr>
          <w:rFonts w:hint="eastAsia" w:ascii="方正小标宋简体" w:hAnsi="宋体" w:eastAsia="方正小标宋简体"/>
          <w:sz w:val="32"/>
          <w:szCs w:val="32"/>
          <w:highlight w:val="none"/>
          <w:lang w:val="en-US" w:eastAsia="zh-CN"/>
        </w:rPr>
        <w:t xml:space="preserve">日    期：      </w:t>
      </w:r>
      <w:r>
        <w:rPr>
          <w:rFonts w:hint="eastAsia" w:ascii="方正小标宋简体" w:hAnsi="宋体" w:eastAsia="方正小标宋简体"/>
          <w:sz w:val="32"/>
          <w:szCs w:val="32"/>
          <w:highlight w:val="none"/>
        </w:rPr>
        <w:t>年</w:t>
      </w:r>
      <w:r>
        <w:rPr>
          <w:rFonts w:hint="eastAsia" w:ascii="方正小标宋简体" w:hAnsi="宋体" w:eastAsia="方正小标宋简体"/>
          <w:sz w:val="32"/>
          <w:szCs w:val="32"/>
          <w:highlight w:val="none"/>
          <w:lang w:val="en-US" w:eastAsia="zh-CN"/>
        </w:rPr>
        <w:t xml:space="preserve">    </w:t>
      </w:r>
      <w:r>
        <w:rPr>
          <w:rFonts w:hint="eastAsia" w:ascii="方正小标宋简体" w:hAnsi="宋体" w:eastAsia="方正小标宋简体"/>
          <w:sz w:val="32"/>
          <w:szCs w:val="32"/>
          <w:highlight w:val="none"/>
        </w:rPr>
        <w:t>月</w:t>
      </w:r>
      <w:r>
        <w:rPr>
          <w:rFonts w:hint="eastAsia" w:ascii="方正小标宋简体" w:hAnsi="宋体" w:eastAsia="方正小标宋简体"/>
          <w:sz w:val="32"/>
          <w:szCs w:val="32"/>
          <w:highlight w:val="none"/>
          <w:lang w:val="en-US" w:eastAsia="zh-CN"/>
        </w:rPr>
        <w:t xml:space="preserve">      日</w:t>
      </w:r>
    </w:p>
    <w:p>
      <w:pPr>
        <w:keepNext w:val="0"/>
        <w:keepLines w:val="0"/>
        <w:pageBreakBefore w:val="0"/>
        <w:widowControl/>
        <w:kinsoku/>
        <w:wordWrap/>
        <w:overflowPunct/>
        <w:topLinePunct w:val="0"/>
        <w:autoSpaceDE/>
        <w:autoSpaceDN/>
        <w:bidi w:val="0"/>
        <w:spacing w:line="360" w:lineRule="auto"/>
        <w:ind w:right="0" w:rightChars="0" w:firstLine="562" w:firstLineChars="200"/>
        <w:jc w:val="left"/>
        <w:textAlignment w:val="auto"/>
        <w:outlineLvl w:val="9"/>
        <w:rPr>
          <w:rFonts w:ascii="仿宋_GB2312" w:hAnsi="宋体" w:eastAsia="仿宋_GB2312"/>
          <w:b/>
          <w:kern w:val="0"/>
          <w:sz w:val="28"/>
          <w:szCs w:val="28"/>
          <w:highlight w:val="none"/>
        </w:rPr>
        <w:sectPr>
          <w:footerReference r:id="rId5" w:type="default"/>
          <w:pgSz w:w="11905" w:h="16838"/>
          <w:pgMar w:top="1440" w:right="1083" w:bottom="1440" w:left="1083" w:header="850"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outlineLvl w:val="9"/>
        <w:rPr>
          <w:rFonts w:hint="eastAsia" w:ascii="黑体" w:hAnsi="黑体" w:eastAsia="黑体" w:cs="黑体"/>
          <w:kern w:val="2"/>
          <w:sz w:val="28"/>
          <w:szCs w:val="24"/>
          <w:highlight w:val="none"/>
          <w:lang w:val="en-US" w:eastAsia="zh-CN" w:bidi="ar-SA"/>
        </w:rPr>
      </w:pPr>
      <w:r>
        <w:rPr>
          <w:rFonts w:hint="eastAsia" w:ascii="黑体" w:hAnsi="黑体" w:eastAsia="黑体" w:cs="黑体"/>
          <w:kern w:val="2"/>
          <w:sz w:val="28"/>
          <w:szCs w:val="24"/>
          <w:highlight w:val="none"/>
          <w:lang w:val="en-US" w:eastAsia="zh-CN" w:bidi="ar-SA"/>
        </w:rPr>
        <w:t>一、承诺函</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四川蜀物兴川物流发展有限公司：</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我司对贵司所发的采购文件所有条款予以确认。并进一步承诺如下：</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1.我司所报的单价，已充分考虑了采购文件及合同范本要求中选单位应承担的所有义务及风险，由此造成或可能造成的费用我司已包含在报价中。</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kern w:val="2"/>
          <w:sz w:val="28"/>
        </w:rPr>
        <w:t>2.我司对采购文件及合同条款完全接受和遵守。我司承诺不调整合同条款。否则，贵司可以随时取消我司的中选资格。</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3.我司承诺不会因贵司对供货合同中的承包范围的调整而产生异议。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4.我司的承诺函及所有向贵司递交的文件将作为合同的组成部分，与供货合同具有同样的法律效力。</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5.我司理解贵司预估数量不为最终结算数量，贵司有权根据项目实际需要进行数量调整，我司将严格按照调增后的数量履行保供义务，不以调减后的数量向贵司提出预期可得利益。</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6.在材料质量上将严格满足国家最新质量标准及项目实际需要，在供货过程中保证供应材料为厂家原产材料，各类质量资料随货同行，并保证各类质量资料真实有效，出现的质量问题我司将按贵司要求质量及时限调换合格材料进场。</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7.在供应时间上将严格按项目要求时间组织材料进场，我司的保证措施是根据进场时间和规格型号要求提前做好备料，确因某些型号材料短期缺货将积极配合项目与业主监理协商沟通进行替换。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申请人：</w:t>
      </w:r>
      <w:r>
        <w:rPr>
          <w:rFonts w:hint="eastAsia" w:cs="Times New Roman"/>
          <w:kern w:val="2"/>
          <w:sz w:val="28"/>
          <w:szCs w:val="24"/>
          <w:highlight w:val="none"/>
          <w:u w:val="single"/>
          <w:lang w:val="en-US" w:eastAsia="zh-CN" w:bidi="ar-SA"/>
        </w:rPr>
        <w:t xml:space="preserve">                   </w:t>
      </w:r>
      <w:r>
        <w:rPr>
          <w:rFonts w:hint="eastAsia" w:cs="Times New Roman"/>
          <w:kern w:val="2"/>
          <w:sz w:val="28"/>
          <w:szCs w:val="24"/>
          <w:highlight w:val="none"/>
          <w:lang w:val="en-US" w:eastAsia="zh-CN" w:bidi="ar-SA"/>
        </w:rPr>
        <w:t>（公章）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法定代表人：</w:t>
      </w:r>
      <w:r>
        <w:rPr>
          <w:rFonts w:hint="eastAsia" w:cs="Times New Roman"/>
          <w:kern w:val="2"/>
          <w:sz w:val="28"/>
          <w:szCs w:val="24"/>
          <w:highlight w:val="none"/>
          <w:u w:val="single"/>
          <w:lang w:val="en-US" w:eastAsia="zh-CN" w:bidi="ar-SA"/>
        </w:rPr>
        <w:t xml:space="preserve">               </w:t>
      </w:r>
      <w:r>
        <w:rPr>
          <w:rFonts w:hint="eastAsia" w:cs="Times New Roman"/>
          <w:kern w:val="2"/>
          <w:sz w:val="28"/>
          <w:szCs w:val="24"/>
          <w:highlight w:val="none"/>
          <w:lang w:val="en-US" w:eastAsia="zh-CN" w:bidi="ar-SA"/>
        </w:rPr>
        <w:t>（签字）</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或其授权的代理人：</w:t>
      </w:r>
      <w:r>
        <w:rPr>
          <w:rFonts w:hint="eastAsia" w:cs="Times New Roman"/>
          <w:kern w:val="2"/>
          <w:sz w:val="28"/>
          <w:szCs w:val="24"/>
          <w:highlight w:val="none"/>
          <w:u w:val="single"/>
          <w:lang w:val="en-US" w:eastAsia="zh-CN" w:bidi="ar-SA"/>
        </w:rPr>
        <w:t xml:space="preserve">         </w:t>
      </w:r>
      <w:r>
        <w:rPr>
          <w:rFonts w:hint="eastAsia" w:cs="Times New Roman"/>
          <w:kern w:val="2"/>
          <w:sz w:val="28"/>
          <w:szCs w:val="24"/>
          <w:highlight w:val="none"/>
          <w:lang w:val="en-US" w:eastAsia="zh-CN" w:bidi="ar-SA"/>
        </w:rPr>
        <w:t>（签字）</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 xml:space="preserve">         日期：       年    月    日</w:t>
      </w:r>
    </w:p>
    <w:p>
      <w:pPr>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br w:type="page"/>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outlineLvl w:val="9"/>
        <w:rPr>
          <w:rFonts w:hint="eastAsia" w:ascii="仿宋_GB2312" w:hAnsi="仿宋_GB2312" w:eastAsia="仿宋_GB2312" w:cs="仿宋_GB2312"/>
          <w:b/>
          <w:bCs/>
          <w:sz w:val="28"/>
          <w:szCs w:val="28"/>
          <w:highlight w:val="none"/>
        </w:rPr>
      </w:pPr>
      <w:r>
        <w:rPr>
          <w:rFonts w:hint="eastAsia" w:ascii="黑体" w:hAnsi="黑体" w:eastAsia="黑体" w:cs="黑体"/>
          <w:kern w:val="2"/>
          <w:sz w:val="28"/>
          <w:szCs w:val="24"/>
          <w:highlight w:val="none"/>
          <w:lang w:val="en-US" w:eastAsia="zh-CN" w:bidi="ar-SA"/>
        </w:rPr>
        <w:t>二、报价表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kern w:val="0"/>
          <w:sz w:val="28"/>
          <w:szCs w:val="28"/>
          <w:highlight w:val="none"/>
          <w:lang w:val="en-US" w:eastAsia="zh-CN"/>
        </w:rPr>
      </w:pPr>
      <w:r>
        <w:rPr>
          <w:rFonts w:hint="eastAsia" w:ascii="楷体_GB2312" w:hAnsi="楷体_GB2312" w:eastAsia="楷体_GB2312" w:cs="楷体_GB2312"/>
          <w:b w:val="0"/>
          <w:bCs/>
          <w:kern w:val="0"/>
          <w:sz w:val="28"/>
          <w:szCs w:val="28"/>
          <w:highlight w:val="none"/>
          <w:lang w:eastAsia="zh-CN"/>
        </w:rPr>
        <w:t>（</w:t>
      </w:r>
      <w:r>
        <w:rPr>
          <w:rFonts w:hint="eastAsia" w:ascii="楷体_GB2312" w:hAnsi="楷体_GB2312" w:eastAsia="楷体_GB2312" w:cs="楷体_GB2312"/>
          <w:b w:val="0"/>
          <w:bCs/>
          <w:kern w:val="0"/>
          <w:sz w:val="28"/>
          <w:szCs w:val="28"/>
          <w:highlight w:val="none"/>
          <w:lang w:val="en-US" w:eastAsia="zh-CN"/>
        </w:rPr>
        <w:t>一</w:t>
      </w:r>
      <w:r>
        <w:rPr>
          <w:rFonts w:hint="eastAsia" w:ascii="楷体_GB2312" w:hAnsi="楷体_GB2312" w:eastAsia="楷体_GB2312" w:cs="楷体_GB2312"/>
          <w:b w:val="0"/>
          <w:bCs/>
          <w:kern w:val="0"/>
          <w:sz w:val="28"/>
          <w:szCs w:val="28"/>
          <w:highlight w:val="none"/>
          <w:lang w:eastAsia="zh-CN"/>
        </w:rPr>
        <w:t>）</w:t>
      </w:r>
      <w:r>
        <w:rPr>
          <w:rFonts w:hint="eastAsia" w:ascii="楷体_GB2312" w:hAnsi="楷体_GB2312" w:eastAsia="楷体_GB2312" w:cs="楷体_GB2312"/>
          <w:b w:val="0"/>
          <w:bCs/>
          <w:kern w:val="0"/>
          <w:sz w:val="28"/>
          <w:szCs w:val="28"/>
          <w:highlight w:val="none"/>
          <w:lang w:val="en-US" w:eastAsia="zh-CN"/>
        </w:rPr>
        <w:t>甲方付款方式</w:t>
      </w:r>
    </w:p>
    <w:p>
      <w:pPr>
        <w:keepNext w:val="0"/>
        <w:keepLines w:val="0"/>
        <w:pageBreakBefore w:val="0"/>
        <w:widowControl w:val="0"/>
        <w:wordWrap/>
        <w:overflowPunct/>
        <w:topLinePunct w:val="0"/>
        <w:bidi w:val="0"/>
        <w:spacing w:line="520" w:lineRule="exact"/>
        <w:ind w:left="0" w:leftChars="0" w:firstLine="616" w:firstLineChars="200"/>
        <w:jc w:val="both"/>
        <w:outlineLvl w:val="9"/>
        <w:rPr>
          <w:rFonts w:hint="eastAsia"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1.先货后款，</w:t>
      </w:r>
      <w:r>
        <w:rPr>
          <w:rFonts w:hint="eastAsia" w:ascii="仿宋_GB2312" w:hAnsi="仿宋_GB2312" w:cs="仿宋_GB2312"/>
          <w:spacing w:val="14"/>
          <w:sz w:val="28"/>
          <w:szCs w:val="28"/>
          <w:highlight w:val="none"/>
          <w:lang w:val="en-US" w:eastAsia="zh-CN"/>
        </w:rPr>
        <w:t>一票制</w:t>
      </w:r>
      <w:r>
        <w:rPr>
          <w:rFonts w:hint="eastAsia" w:ascii="仿宋_GB2312" w:hAnsi="仿宋_GB2312" w:eastAsia="仿宋_GB2312" w:cs="仿宋_GB2312"/>
          <w:spacing w:val="14"/>
          <w:sz w:val="28"/>
          <w:szCs w:val="28"/>
          <w:highlight w:val="none"/>
        </w:rPr>
        <w:t>结算</w:t>
      </w:r>
      <w:r>
        <w:rPr>
          <w:rFonts w:hint="eastAsia" w:ascii="仿宋_GB2312" w:hAnsi="仿宋_GB2312" w:eastAsia="仿宋_GB2312" w:cs="仿宋_GB2312"/>
          <w:spacing w:val="14"/>
          <w:sz w:val="28"/>
          <w:szCs w:val="28"/>
          <w:highlight w:val="none"/>
          <w:lang w:eastAsia="zh-CN"/>
        </w:rPr>
        <w:t>。</w:t>
      </w:r>
      <w:r>
        <w:rPr>
          <w:rFonts w:hint="eastAsia" w:ascii="仿宋_GB2312" w:hAnsi="仿宋_GB2312" w:eastAsia="仿宋_GB2312" w:cs="仿宋_GB2312"/>
          <w:spacing w:val="14"/>
          <w:sz w:val="28"/>
          <w:szCs w:val="28"/>
          <w:highlight w:val="none"/>
          <w:lang w:val="en-US" w:eastAsia="zh-CN"/>
        </w:rPr>
        <w:t>结算周期为上月21日至本月20日（根据项目情况同步调整）</w:t>
      </w:r>
      <w:r>
        <w:rPr>
          <w:rFonts w:hint="eastAsia" w:ascii="仿宋_GB2312" w:hAnsi="仿宋_GB2312" w:cs="仿宋_GB2312"/>
          <w:spacing w:val="14"/>
          <w:sz w:val="28"/>
          <w:szCs w:val="28"/>
          <w:highlight w:val="none"/>
          <w:lang w:val="en-US" w:eastAsia="zh-CN"/>
        </w:rPr>
        <w:t>.</w:t>
      </w:r>
      <w:r>
        <w:rPr>
          <w:rFonts w:hint="eastAsia" w:ascii="仿宋_GB2312" w:hAnsi="仿宋_GB2312" w:eastAsia="仿宋_GB2312" w:cs="仿宋_GB2312"/>
          <w:spacing w:val="14"/>
          <w:sz w:val="28"/>
          <w:szCs w:val="28"/>
          <w:highlight w:val="none"/>
          <w:lang w:val="en-US" w:eastAsia="zh-CN"/>
        </w:rPr>
        <w:t>自</w:t>
      </w:r>
      <w:r>
        <w:rPr>
          <w:rFonts w:hint="eastAsia" w:ascii="仿宋_GB2312" w:hAnsi="仿宋_GB2312" w:eastAsia="仿宋_GB2312" w:cs="仿宋_GB2312"/>
          <w:spacing w:val="14"/>
          <w:sz w:val="28"/>
          <w:szCs w:val="28"/>
          <w:highlight w:val="none"/>
        </w:rPr>
        <w:t>对账结算完毕之日并收到</w:t>
      </w:r>
      <w:r>
        <w:rPr>
          <w:rFonts w:hint="eastAsia" w:ascii="仿宋_GB2312" w:hAnsi="仿宋_GB2312" w:eastAsia="仿宋_GB2312" w:cs="仿宋_GB2312"/>
          <w:spacing w:val="14"/>
          <w:sz w:val="28"/>
          <w:szCs w:val="28"/>
          <w:highlight w:val="none"/>
          <w:lang w:val="en-US" w:eastAsia="zh-CN"/>
        </w:rPr>
        <w:t>乙方</w:t>
      </w:r>
      <w:r>
        <w:rPr>
          <w:rFonts w:hint="eastAsia" w:ascii="仿宋_GB2312" w:hAnsi="仿宋_GB2312" w:eastAsia="仿宋_GB2312" w:cs="仿宋_GB2312"/>
          <w:spacing w:val="14"/>
          <w:sz w:val="28"/>
          <w:szCs w:val="28"/>
          <w:highlight w:val="none"/>
        </w:rPr>
        <w:t>出具的</w:t>
      </w:r>
      <w:r>
        <w:rPr>
          <w:rFonts w:hint="eastAsia" w:ascii="仿宋_GB2312" w:hAnsi="仿宋_GB2312" w:eastAsia="仿宋_GB2312" w:cs="仿宋_GB2312"/>
          <w:spacing w:val="14"/>
          <w:sz w:val="28"/>
          <w:szCs w:val="28"/>
          <w:highlight w:val="none"/>
          <w:lang w:val="en-US" w:eastAsia="zh-CN"/>
        </w:rPr>
        <w:t>合法</w:t>
      </w:r>
      <w:r>
        <w:rPr>
          <w:rFonts w:hint="eastAsia" w:ascii="仿宋_GB2312" w:hAnsi="仿宋_GB2312" w:eastAsia="仿宋_GB2312" w:cs="仿宋_GB2312"/>
          <w:spacing w:val="14"/>
          <w:sz w:val="28"/>
          <w:szCs w:val="28"/>
          <w:highlight w:val="none"/>
        </w:rPr>
        <w:t>有效的足额增值税</w:t>
      </w:r>
      <w:r>
        <w:rPr>
          <w:rFonts w:hint="eastAsia" w:ascii="仿宋_GB2312" w:hAnsi="仿宋_GB2312" w:eastAsia="仿宋_GB2312" w:cs="仿宋_GB2312"/>
          <w:spacing w:val="14"/>
          <w:sz w:val="28"/>
          <w:szCs w:val="28"/>
          <w:highlight w:val="none"/>
          <w:lang w:val="en-US" w:eastAsia="zh-CN"/>
        </w:rPr>
        <w:t>专用</w:t>
      </w:r>
      <w:r>
        <w:rPr>
          <w:rFonts w:hint="eastAsia" w:ascii="仿宋_GB2312" w:hAnsi="仿宋_GB2312" w:eastAsia="仿宋_GB2312" w:cs="仿宋_GB2312"/>
          <w:spacing w:val="14"/>
          <w:sz w:val="28"/>
          <w:szCs w:val="28"/>
          <w:highlight w:val="none"/>
        </w:rPr>
        <w:t>发票之日起不超过15个工</w:t>
      </w:r>
      <w:r>
        <w:rPr>
          <w:rFonts w:hint="eastAsia" w:ascii="仿宋_GB2312" w:hAnsi="仿宋_GB2312" w:eastAsia="仿宋_GB2312" w:cs="仿宋_GB2312"/>
          <w:spacing w:val="14"/>
          <w:sz w:val="28"/>
          <w:szCs w:val="28"/>
          <w:highlight w:val="none"/>
          <w:lang w:val="en-US" w:eastAsia="zh-CN"/>
        </w:rPr>
        <w:t>作日，甲方进行付款。</w:t>
      </w:r>
      <w:r>
        <w:rPr>
          <w:rFonts w:hint="eastAsia" w:ascii="仿宋_GB2312" w:hAnsi="仿宋_GB2312" w:cs="仿宋_GB2312"/>
          <w:spacing w:val="14"/>
          <w:sz w:val="28"/>
          <w:szCs w:val="28"/>
          <w:highlight w:val="none"/>
          <w:lang w:val="en-US" w:eastAsia="zh-CN"/>
        </w:rPr>
        <w:t>如甲方出现资金困难，乙方同意给予</w:t>
      </w:r>
      <w:r>
        <w:rPr>
          <w:rFonts w:hint="eastAsia" w:ascii="仿宋_GB2312" w:hAnsi="仿宋_GB2312" w:cs="仿宋_GB2312"/>
          <w:b/>
          <w:bCs/>
          <w:spacing w:val="14"/>
          <w:sz w:val="28"/>
          <w:szCs w:val="28"/>
          <w:highlight w:val="none"/>
          <w:u w:val="single"/>
          <w:lang w:val="en-US" w:eastAsia="zh-CN"/>
        </w:rPr>
        <w:t>1个月</w:t>
      </w:r>
      <w:r>
        <w:rPr>
          <w:rFonts w:hint="eastAsia" w:ascii="仿宋_GB2312" w:hAnsi="仿宋_GB2312" w:cs="仿宋_GB2312"/>
          <w:spacing w:val="14"/>
          <w:sz w:val="28"/>
          <w:szCs w:val="28"/>
          <w:highlight w:val="none"/>
          <w:lang w:val="en-US" w:eastAsia="zh-CN"/>
        </w:rPr>
        <w:t>的付款宽限期，在此宽限期间内不视为甲方违约且不计息。乙方给予</w:t>
      </w:r>
      <w:bookmarkStart w:id="0" w:name="_GoBack"/>
      <w:bookmarkEnd w:id="0"/>
      <w:r>
        <w:rPr>
          <w:rFonts w:hint="eastAsia" w:ascii="仿宋_GB2312" w:hAnsi="仿宋_GB2312" w:cs="仿宋_GB2312"/>
          <w:spacing w:val="14"/>
          <w:sz w:val="28"/>
          <w:szCs w:val="28"/>
          <w:highlight w:val="none"/>
          <w:lang w:val="en-US" w:eastAsia="zh-CN"/>
        </w:rPr>
        <w:t>理解，承诺不因此主张逾期利息等违约责任且乙方不得以此为由中断本项目的货物供应。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6" w:firstLineChars="200"/>
        <w:jc w:val="left"/>
        <w:textAlignment w:val="auto"/>
        <w:outlineLvl w:val="9"/>
        <w:rPr>
          <w:rFonts w:hint="eastAsia"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2.对账结算资料包含送货单、签收单、对账单等原件，对账单经双方授权人签字并加盖公章，甲方收集齐全上述资料即为对账结算手续办理完毕。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6" w:firstLineChars="200"/>
        <w:jc w:val="left"/>
        <w:textAlignment w:val="auto"/>
        <w:outlineLvl w:val="9"/>
        <w:rPr>
          <w:rFonts w:hint="default"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3.支付方式：现款(银行转账)、银行承兑汇票、云信、E信通。甲方以银行承兑汇票、云信、E信通进行货款支付的，由乙方承担贴息费用。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kern w:val="0"/>
          <w:sz w:val="28"/>
          <w:szCs w:val="28"/>
          <w:highlight w:val="none"/>
          <w:lang w:val="en-US" w:eastAsia="zh-CN"/>
        </w:rPr>
      </w:pPr>
      <w:r>
        <w:rPr>
          <w:rFonts w:hint="eastAsia" w:ascii="楷体_GB2312" w:hAnsi="楷体_GB2312" w:eastAsia="楷体_GB2312" w:cs="楷体_GB2312"/>
          <w:b w:val="0"/>
          <w:bCs/>
          <w:kern w:val="0"/>
          <w:sz w:val="28"/>
          <w:szCs w:val="28"/>
          <w:highlight w:val="none"/>
          <w:lang w:val="en-US" w:eastAsia="zh-CN"/>
        </w:rPr>
        <w:t>（二）价格组成</w:t>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1.结算价=基准价+固定费用。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ascii="仿宋_GB2312" w:hAnsi="仿宋_GB2312" w:eastAsia="仿宋_GB2312" w:cs="仿宋_GB2312"/>
          <w:spacing w:val="14"/>
          <w:kern w:val="2"/>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rPr>
        <w:t>2.基</w:t>
      </w:r>
      <w:r>
        <w:rPr>
          <w:rFonts w:hint="eastAsia" w:ascii="仿宋_GB2312" w:hAnsi="仿宋_GB2312" w:eastAsia="仿宋_GB2312" w:cs="仿宋_GB2312"/>
          <w:spacing w:val="14"/>
          <w:kern w:val="2"/>
          <w:sz w:val="28"/>
          <w:szCs w:val="28"/>
          <w:highlight w:val="none"/>
          <w:lang w:val="en-US" w:eastAsia="zh-CN" w:bidi="ar-SA"/>
        </w:rPr>
        <w:t>准价：</w:t>
      </w:r>
      <w:r>
        <w:rPr>
          <w:rFonts w:hint="eastAsia" w:cs="Times New Roman"/>
          <w:kern w:val="2"/>
          <w:sz w:val="28"/>
          <w:szCs w:val="24"/>
          <w:highlight w:val="none"/>
          <w:lang w:val="en-US" w:eastAsia="zh-CN" w:bidi="ar-SA"/>
        </w:rPr>
        <w:t>基准价为拟设网价，仅作为本次核定总价，不作为结算依据。实际结算基准价取到货当日“我的钢铁网”(网址： www.mysteel.com) “成都市场建筑钢材价格行情”第 一次公布的对应钢厂，对应品种、规格的网价，有规格备注价格以备注价格为准；节假日 无报价的，按照前一工作日结算。若在实际供应中涉及所供应物资“我的钢铁网”有相同 种类、规格，但无实际供应的生产厂家对应网价时，执行满足规格要求的最低网价。若在实际供应中涉及所供应物资规格型号没有网价，则参照我的钢铁网公布的建材价格中所对应最接近的较小规格型号价格确定供应期网价，若无较小规格型号，则参照所对应最接近的较大规格型号。品种相同规格不同时，执行较小的最接近规格对应的综合费用。圆钢网价参照“我的钢铁网”公布的HRB400E 同规格螺纹钢的网价。</w:t>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616" w:firstLineChars="200"/>
        <w:textAlignment w:val="auto"/>
        <w:rPr>
          <w:rFonts w:hint="default" w:ascii="仿宋_GB2312" w:hAnsi="仿宋_GB2312" w:eastAsia="仿宋_GB2312" w:cs="仿宋_GB2312"/>
          <w:spacing w:val="14"/>
          <w:kern w:val="2"/>
          <w:sz w:val="28"/>
          <w:szCs w:val="28"/>
          <w:highlight w:val="none"/>
          <w:lang w:val="en-US" w:eastAsia="zh-CN" w:bidi="ar-SA"/>
        </w:rPr>
      </w:pPr>
      <w:r>
        <w:rPr>
          <w:rFonts w:hint="eastAsia" w:ascii="仿宋_GB2312" w:hAnsi="仿宋_GB2312" w:eastAsia="仿宋_GB2312" w:cs="仿宋_GB2312"/>
          <w:spacing w:val="14"/>
          <w:kern w:val="2"/>
          <w:sz w:val="28"/>
          <w:szCs w:val="28"/>
          <w:highlight w:val="none"/>
          <w:lang w:val="en-US" w:eastAsia="zh-CN" w:bidi="ar-SA"/>
        </w:rPr>
        <w:t>因项目业主要求、市场行情、政策等客观因素发生变化需要调整基准价定价方式的（如参照网价执行条件），采购人将根据基准价调整政策与中选人另行协商，确定采购单价。</w:t>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616" w:firstLineChars="200"/>
        <w:textAlignment w:val="auto"/>
        <w:rPr>
          <w:rFonts w:hint="eastAsia" w:ascii="仿宋_GB2312" w:hAnsi="仿宋_GB2312" w:eastAsia="仿宋_GB2312" w:cs="仿宋_GB2312"/>
          <w:spacing w:val="14"/>
          <w:kern w:val="2"/>
          <w:sz w:val="28"/>
          <w:szCs w:val="28"/>
          <w:highlight w:val="none"/>
          <w:lang w:val="en-US" w:eastAsia="zh-CN" w:bidi="ar-SA"/>
        </w:rPr>
      </w:pPr>
      <w:r>
        <w:rPr>
          <w:rFonts w:hint="eastAsia" w:ascii="仿宋_GB2312" w:hAnsi="仿宋_GB2312" w:eastAsia="仿宋_GB2312" w:cs="仿宋_GB2312"/>
          <w:spacing w:val="14"/>
          <w:kern w:val="2"/>
          <w:sz w:val="28"/>
          <w:szCs w:val="28"/>
          <w:highlight w:val="none"/>
          <w:lang w:val="en-US" w:eastAsia="zh-CN" w:bidi="ar-SA"/>
        </w:rPr>
        <w:t>3.固定费用：包含但不限于检测费、装卸费（不含工地卸车费）、运杂费、税金、利润、资金成本、文本工具材料费等一切费用和所有合同明示或暗示的所有责任、义务和风险的综合单价。固定费用是综合到场结算单价中除基准价外的其它费用，除非上述定价方式改变双方另行协商采购单价，否则固定费用在整个合同执行过程中不作调整，仅随国家增值税税率调整而作相应调整。</w:t>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br w:type="page"/>
      </w:r>
    </w:p>
    <w:p>
      <w:pPr>
        <w:widowControl w:val="0"/>
        <w:wordWrap/>
        <w:snapToGrid/>
        <w:spacing w:line="500" w:lineRule="exact"/>
        <w:ind w:left="0" w:leftChars="0" w:firstLine="0" w:firstLineChars="0"/>
        <w:jc w:val="left"/>
        <w:textAlignment w:val="auto"/>
        <w:outlineLvl w:val="9"/>
        <w:rPr>
          <w:rFonts w:hint="eastAsia" w:ascii="仿宋_GB2312" w:hAnsi="仿宋_GB2312" w:eastAsia="仿宋_GB2312" w:cs="仿宋_GB2312"/>
          <w:kern w:val="0"/>
          <w:sz w:val="28"/>
          <w:szCs w:val="28"/>
          <w:highlight w:val="none"/>
        </w:rPr>
        <w:sectPr>
          <w:headerReference r:id="rId6" w:type="default"/>
          <w:footerReference r:id="rId7" w:type="default"/>
          <w:pgSz w:w="11905" w:h="16838"/>
          <w:pgMar w:top="1440" w:right="1083" w:bottom="1440" w:left="1083" w:header="850" w:footer="992" w:gutter="0"/>
          <w:pgBorders>
            <w:top w:val="none" w:sz="0" w:space="0"/>
            <w:left w:val="none" w:sz="0" w:space="0"/>
            <w:bottom w:val="none" w:sz="0" w:space="0"/>
            <w:right w:val="none" w:sz="0" w:space="0"/>
          </w:pgBorders>
          <w:cols w:space="0" w:num="1"/>
          <w:rtlGutter w:val="0"/>
          <w:docGrid w:type="lines" w:linePitch="436" w:charSpace="0"/>
        </w:sectPr>
      </w:pPr>
    </w:p>
    <w:p>
      <w:pPr>
        <w:pStyle w:val="13"/>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lang w:eastAsia="zh-CN"/>
        </w:rPr>
        <w:t>三）报价表</w:t>
      </w:r>
    </w:p>
    <w:p>
      <w:pPr>
        <w:pStyle w:val="13"/>
        <w:keepNext w:val="0"/>
        <w:keepLines w:val="0"/>
        <w:pageBreakBefore w:val="0"/>
        <w:widowControl w:val="0"/>
        <w:kinsoku/>
        <w:wordWrap/>
        <w:overflowPunct/>
        <w:topLinePunct w:val="0"/>
        <w:autoSpaceDE/>
        <w:autoSpaceDN/>
        <w:bidi w:val="0"/>
        <w:adjustRightInd w:val="0"/>
        <w:snapToGrid/>
        <w:spacing w:line="500" w:lineRule="exact"/>
        <w:ind w:left="-304" w:leftChars="-100" w:hanging="16" w:hangingChars="6"/>
        <w:textAlignment w:val="auto"/>
        <w:rPr>
          <w:rFonts w:hint="eastAsia" w:ascii="仿宋_GB2312" w:hAnsi="仿宋_GB2312" w:eastAsia="仿宋_GB2312" w:cs="仿宋_GB2312"/>
          <w:kern w:val="0"/>
          <w:sz w:val="28"/>
          <w:szCs w:val="28"/>
          <w:highlight w:val="none"/>
        </w:rPr>
      </w:pPr>
    </w:p>
    <w:tbl>
      <w:tblPr>
        <w:tblStyle w:val="9"/>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415"/>
        <w:gridCol w:w="778"/>
        <w:gridCol w:w="1377"/>
        <w:gridCol w:w="1308"/>
        <w:gridCol w:w="1056"/>
        <w:gridCol w:w="115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材料      名称</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型号规格</w:t>
            </w:r>
          </w:p>
        </w:tc>
        <w:tc>
          <w:tcPr>
            <w:tcW w:w="77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预估重量（吨）</w:t>
            </w:r>
          </w:p>
        </w:tc>
        <w:tc>
          <w:tcPr>
            <w:tcW w:w="1377" w:type="dxa"/>
            <w:vAlign w:val="center"/>
          </w:tcPr>
          <w:p>
            <w:pPr>
              <w:pStyle w:val="13"/>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both"/>
              <w:textAlignment w:val="auto"/>
              <w:rPr>
                <w:rFonts w:hint="eastAsia" w:ascii="仿宋" w:hAnsi="仿宋" w:eastAsia="仿宋" w:cs="仿宋"/>
                <w:b w:val="0"/>
                <w:bCs w:val="0"/>
                <w:kern w:val="0"/>
                <w:sz w:val="21"/>
                <w:szCs w:val="21"/>
                <w:highlight w:val="none"/>
                <w:vertAlign w:val="baseline"/>
              </w:rPr>
            </w:pPr>
            <w:r>
              <w:rPr>
                <w:rFonts w:hint="eastAsia" w:ascii="仿宋" w:hAnsi="仿宋" w:eastAsia="仿宋" w:cs="仿宋"/>
                <w:b w:val="0"/>
                <w:bCs w:val="0"/>
                <w:i w:val="0"/>
                <w:iCs w:val="0"/>
                <w:color w:val="000000"/>
                <w:kern w:val="0"/>
                <w:sz w:val="21"/>
                <w:szCs w:val="21"/>
                <w:highlight w:val="none"/>
                <w:u w:val="none"/>
                <w:lang w:val="en-US" w:eastAsia="zh-CN" w:bidi="ar"/>
              </w:rPr>
              <w:t>含税基准价     （元/吨）</w:t>
            </w:r>
          </w:p>
        </w:tc>
        <w:tc>
          <w:tcPr>
            <w:tcW w:w="13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综合固定费用(元/吨）税率13%</w:t>
            </w: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综合含税到场单价（元/吨）税率13%</w:t>
            </w:r>
          </w:p>
        </w:tc>
        <w:tc>
          <w:tcPr>
            <w:tcW w:w="11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综合含税到场总价（元/吨）税率13%</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最高含税限价       （元/吨）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盘圆</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HPB300    Φ6-Φ8</w:t>
            </w:r>
          </w:p>
        </w:tc>
        <w:tc>
          <w:tcPr>
            <w:tcW w:w="77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6000</w:t>
            </w:r>
          </w:p>
        </w:tc>
        <w:tc>
          <w:tcPr>
            <w:tcW w:w="137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4100</w:t>
            </w:r>
          </w:p>
        </w:tc>
        <w:tc>
          <w:tcPr>
            <w:tcW w:w="13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1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盘螺</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HRB400E   Φ6-Φ12</w:t>
            </w:r>
          </w:p>
        </w:tc>
        <w:tc>
          <w:tcPr>
            <w:tcW w:w="77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200</w:t>
            </w:r>
          </w:p>
        </w:tc>
        <w:tc>
          <w:tcPr>
            <w:tcW w:w="137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30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56"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152"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圆钢</w:t>
            </w:r>
          </w:p>
        </w:tc>
        <w:tc>
          <w:tcPr>
            <w:tcW w:w="141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各型</w:t>
            </w:r>
          </w:p>
        </w:tc>
        <w:tc>
          <w:tcPr>
            <w:tcW w:w="77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300</w:t>
            </w:r>
          </w:p>
        </w:tc>
        <w:tc>
          <w:tcPr>
            <w:tcW w:w="137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308"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56"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152"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02"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合计</w:t>
            </w:r>
          </w:p>
        </w:tc>
        <w:tc>
          <w:tcPr>
            <w:tcW w:w="778"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6500</w:t>
            </w:r>
          </w:p>
        </w:tc>
        <w:tc>
          <w:tcPr>
            <w:tcW w:w="137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308"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56"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152"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default"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 xml:space="preserve">说明：1、含税基准价：基准价为拟设网价，仅作为本次核定总价，不作为结算依据。实际结算基准价取到货当日“我的钢铁网”(网址： www.mysteel.com) “成都市场建筑钢材价格行情”第 一次公布的对应钢厂，对应品种、规格的网价，有规格备注价格以备注价格为准；节假日 无报价的，按照前一工作日结算。若在实际供应中涉及所供应物资“我的钢铁网”有相同 种类、规格，但无实际供应的生产厂家对应网价时，执行满足规格要求的最低网价。若在实际供应中涉及所供应物资规格型号没有网价，则参照我的钢铁网公布的建材价格中所对应最接近的较小规格型号价格确定供应期网价，若无较小规格型号，则参照所对应最接近的较大规格型号。品种相同规格不同时，执行较小的最接近规格对应的综合费用。圆钢网价参照“我的钢铁网”公布的HRB400E 同规格螺纹钢的网价。 </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840" w:firstLineChars="30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b w:val="0"/>
          <w:bCs/>
          <w:kern w:val="0"/>
          <w:sz w:val="28"/>
          <w:szCs w:val="28"/>
          <w:highlight w:val="none"/>
          <w:lang w:val="en-US" w:eastAsia="zh-CN"/>
        </w:rPr>
        <w:t>2</w:t>
      </w:r>
      <w:r>
        <w:rPr>
          <w:rFonts w:hint="eastAsia" w:ascii="仿宋" w:hAnsi="仿宋" w:eastAsia="仿宋" w:cs="仿宋"/>
          <w:i w:val="0"/>
          <w:iCs w:val="0"/>
          <w:color w:val="000000"/>
          <w:sz w:val="28"/>
          <w:szCs w:val="28"/>
          <w:highlight w:val="none"/>
          <w:u w:val="none"/>
          <w:lang w:val="en-US" w:eastAsia="zh-CN"/>
        </w:rPr>
        <w:t>、报价表中“固定费用”报价格式为+x元/吨，或-x元/吨，四舍五入保留两位数。</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840" w:firstLineChars="300"/>
        <w:jc w:val="left"/>
        <w:textAlignment w:val="center"/>
        <w:rPr>
          <w:rFonts w:hint="eastAsia" w:ascii="仿宋" w:hAnsi="仿宋" w:eastAsia="仿宋" w:cs="仿宋"/>
          <w:i w:val="0"/>
          <w:iCs w:val="0"/>
          <w:color w:val="000000"/>
          <w:sz w:val="28"/>
          <w:szCs w:val="28"/>
          <w:highlight w:val="none"/>
          <w:u w:val="none"/>
          <w:lang w:val="en-US" w:eastAsia="zh-CN"/>
        </w:rPr>
      </w:pPr>
    </w:p>
    <w:p>
      <w:pPr>
        <w:spacing w:line="480" w:lineRule="auto"/>
        <w:ind w:left="0" w:leftChars="0" w:firstLine="0" w:firstLineChars="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申请人名称 (盖章)：         </w:t>
      </w:r>
    </w:p>
    <w:p>
      <w:pPr>
        <w:spacing w:line="480" w:lineRule="auto"/>
        <w:ind w:left="0" w:leftChars="0" w:firstLine="0" w:firstLineChars="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法定代表人或授权代理人(签字)：             </w:t>
      </w:r>
    </w:p>
    <w:p>
      <w:pPr>
        <w:spacing w:line="480" w:lineRule="auto"/>
        <w:ind w:left="0" w:leftChars="0" w:firstLine="0" w:firstLineChars="0"/>
        <w:jc w:val="center"/>
        <w:rPr>
          <w:rFonts w:hint="default" w:ascii="Times New Roman" w:hAnsi="Times New Roman" w:cs="Times New Roman"/>
          <w:kern w:val="2"/>
          <w:sz w:val="28"/>
          <w:szCs w:val="24"/>
          <w:highlight w:val="none"/>
          <w:lang w:val="en-US" w:eastAsia="zh-CN" w:bidi="ar-SA"/>
        </w:rPr>
      </w:pPr>
      <w:r>
        <w:rPr>
          <w:rFonts w:hint="eastAsia" w:ascii="仿宋" w:hAnsi="仿宋" w:eastAsia="仿宋" w:cs="仿宋"/>
          <w:kern w:val="2"/>
          <w:sz w:val="28"/>
          <w:szCs w:val="28"/>
          <w:highlight w:val="none"/>
          <w:lang w:val="en-US" w:eastAsia="zh-CN" w:bidi="ar-SA"/>
        </w:rPr>
        <w:t xml:space="preserve">     日期：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仿宋_GB2312" w:hAnsi="仿宋_GB2312" w:eastAsia="仿宋_GB2312" w:cs="仿宋_GB2312"/>
          <w:kern w:val="0"/>
          <w:sz w:val="28"/>
          <w:szCs w:val="28"/>
          <w:highlight w:val="none"/>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outlineLvl w:val="9"/>
        <w:rPr>
          <w:rFonts w:hint="eastAsia" w:ascii="仿宋_GB2312" w:hAnsi="仿宋_GB2312" w:eastAsia="仿宋_GB2312" w:cs="仿宋_GB2312"/>
          <w:kern w:val="0"/>
          <w:sz w:val="28"/>
          <w:szCs w:val="28"/>
          <w:highlight w:val="none"/>
        </w:rPr>
      </w:pPr>
    </w:p>
    <w:p>
      <w:pPr>
        <w:tabs>
          <w:tab w:val="left" w:pos="1308"/>
        </w:tabs>
        <w:bidi w:val="0"/>
        <w:ind w:left="0" w:leftChars="0" w:firstLine="0" w:firstLineChars="0"/>
        <w:jc w:val="left"/>
        <w:rPr>
          <w:rFonts w:hint="default"/>
          <w:lang w:val="en-US" w:eastAsia="zh-CN"/>
        </w:rPr>
      </w:pPr>
    </w:p>
    <w:sectPr>
      <w:pgSz w:w="11905" w:h="16838"/>
      <w:pgMar w:top="1440" w:right="1083" w:bottom="1440" w:left="1083" w:header="850" w:footer="992" w:gutter="0"/>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24C00A-BEE3-4E15-B14F-2E14DF3E6E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2B096B1-28E7-40C3-BA07-42962CBAD08C}"/>
  </w:font>
  <w:font w:name="仿宋_GB2312">
    <w:panose1 w:val="02010609030101010101"/>
    <w:charset w:val="86"/>
    <w:family w:val="auto"/>
    <w:pitch w:val="default"/>
    <w:sig w:usb0="00000001" w:usb1="080E0000" w:usb2="00000000" w:usb3="00000000" w:csb0="00040000" w:csb1="00000000"/>
    <w:embedRegular r:id="rId3" w:fontKey="{2F07E1CB-D6D1-4406-B339-5D4AC5C99323}"/>
  </w:font>
  <w:font w:name="楷体_GB2312">
    <w:panose1 w:val="02010609030101010101"/>
    <w:charset w:val="86"/>
    <w:family w:val="auto"/>
    <w:pitch w:val="default"/>
    <w:sig w:usb0="00000001" w:usb1="080E0000" w:usb2="00000000" w:usb3="00000000" w:csb0="00040000" w:csb1="00000000"/>
    <w:embedRegular r:id="rId4" w:fontKey="{0D58FEDF-A894-434B-B0F6-7284B640AD3A}"/>
  </w:font>
  <w:font w:name="方正小标宋简体">
    <w:panose1 w:val="03000509000000000000"/>
    <w:charset w:val="86"/>
    <w:family w:val="auto"/>
    <w:pitch w:val="default"/>
    <w:sig w:usb0="00000001" w:usb1="080E0000" w:usb2="00000000" w:usb3="00000000" w:csb0="00040000" w:csb1="00000000"/>
    <w:embedRegular r:id="rId5" w:fontKey="{5B15A418-0AC0-4284-B8B9-0682AFB9AACE}"/>
  </w:font>
  <w:font w:name="微软雅黑">
    <w:panose1 w:val="020B0503020204020204"/>
    <w:charset w:val="86"/>
    <w:family w:val="swiss"/>
    <w:pitch w:val="default"/>
    <w:sig w:usb0="80000287" w:usb1="2ACF3C50" w:usb2="00000016" w:usb3="00000000" w:csb0="0004001F" w:csb1="00000000"/>
    <w:embedRegular r:id="rId6" w:fontKey="{FAAF6790-CBF8-4AAE-98B9-1CF103E0F799}"/>
  </w:font>
  <w:font w:name="等线">
    <w:panose1 w:val="02010600030101010101"/>
    <w:charset w:val="86"/>
    <w:family w:val="auto"/>
    <w:pitch w:val="default"/>
    <w:sig w:usb0="A00002BF" w:usb1="38CF7CFA" w:usb2="00000016" w:usb3="00000000" w:csb0="0004000F" w:csb1="00000000"/>
    <w:embedRegular r:id="rId7" w:fontKey="{5D62CD89-3F66-4692-B87A-828C3BB3A835}"/>
  </w:font>
  <w:font w:name="仿宋">
    <w:panose1 w:val="02010609060101010101"/>
    <w:charset w:val="86"/>
    <w:family w:val="auto"/>
    <w:pitch w:val="default"/>
    <w:sig w:usb0="800002BF" w:usb1="38CF7CFA" w:usb2="00000016" w:usb3="00000000" w:csb0="00040001" w:csb1="00000000"/>
    <w:embedRegular r:id="rId8" w:fontKey="{8ABFDA19-EA54-4930-AB5B-3464A1152B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835"/>
      <w:rPr>
        <w:rFonts w:ascii="等线" w:hAnsi="等线" w:eastAsia="等线" w:cs="等线"/>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jQyNDhiMTA4YjQ5MzMxMTljMmEzMThkNGFlZWYifQ=="/>
  </w:docVars>
  <w:rsids>
    <w:rsidRoot w:val="064E1D05"/>
    <w:rsid w:val="064E1D05"/>
    <w:rsid w:val="0EB436B4"/>
    <w:rsid w:val="128B5879"/>
    <w:rsid w:val="18237BAC"/>
    <w:rsid w:val="1D665081"/>
    <w:rsid w:val="22EA1A30"/>
    <w:rsid w:val="286D3246"/>
    <w:rsid w:val="2F2525DA"/>
    <w:rsid w:val="340953FB"/>
    <w:rsid w:val="38BF2589"/>
    <w:rsid w:val="3B2E49BC"/>
    <w:rsid w:val="3EDA535D"/>
    <w:rsid w:val="44505195"/>
    <w:rsid w:val="47E53477"/>
    <w:rsid w:val="4F954AB2"/>
    <w:rsid w:val="57B36157"/>
    <w:rsid w:val="5F1A39ED"/>
    <w:rsid w:val="5F527AD0"/>
    <w:rsid w:val="624E1AC5"/>
    <w:rsid w:val="693B00D6"/>
    <w:rsid w:val="71A01196"/>
    <w:rsid w:val="7A51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before="100" w:beforeAutospacing="1" w:after="120"/>
    </w:p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paragraph" w:customStyle="1" w:styleId="12">
    <w:name w:val="引用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13">
    <w:name w:val="正文文本缩进1"/>
    <w:basedOn w:val="1"/>
    <w:autoRedefine/>
    <w:qFormat/>
    <w:uiPriority w:val="0"/>
    <w:pPr>
      <w:ind w:left="720" w:hanging="720" w:hangingChars="200"/>
    </w:pPr>
    <w:rPr>
      <w:rFonts w:eastAsia="楷体_GB2312"/>
      <w:sz w:val="36"/>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2217</Words>
  <Characters>2489</Characters>
  <Lines>0</Lines>
  <Paragraphs>0</Paragraphs>
  <TotalTime>19</TotalTime>
  <ScaleCrop>false</ScaleCrop>
  <LinksUpToDate>false</LinksUpToDate>
  <CharactersWithSpaces>2650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2023-08-08T09:02:00Z</dcterms:created>
  <dc:creator>     Innocenceღ</dc:creator>
  <cp:lastModifiedBy>黑先生</cp:lastModifiedBy>
  <dcterms:modified xsi:type="dcterms:W3CDTF">2024-02-20T02:13:22Z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B87BBEED71804114A58D447C6325E6A9_11</vt:lpwstr>
  </property>
</Properties>
</file>